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Rule="auto"/>
        <w:ind w:right="-40.8661417322827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Zpracovatelský dodatek ke Smlouvě … 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right="-40.8661417322827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Správce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jméno a příjmení/název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se sídlem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IČ: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zapsaný v ….. rejstříku vedeném ….. </w:t>
      </w:r>
    </w:p>
    <w:p w:rsidR="00000000" w:rsidDel="00000000" w:rsidP="00000000" w:rsidRDefault="00000000" w:rsidRPr="00000000" w14:paraId="00000007">
      <w:pPr>
        <w:widowControl w:val="0"/>
        <w:spacing w:after="20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zastoupená … </w:t>
      </w:r>
    </w:p>
    <w:p w:rsidR="00000000" w:rsidDel="00000000" w:rsidP="00000000" w:rsidRDefault="00000000" w:rsidRPr="00000000" w14:paraId="00000008">
      <w:pPr>
        <w:widowControl w:val="0"/>
        <w:spacing w:after="200" w:lineRule="auto"/>
        <w:ind w:right="-40.8661417322827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Zpracovatel </w:t>
      </w:r>
    </w:p>
    <w:p w:rsidR="00000000" w:rsidDel="00000000" w:rsidP="00000000" w:rsidRDefault="00000000" w:rsidRPr="00000000" w14:paraId="00000009">
      <w:pPr>
        <w:widowControl w:val="0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jméno a příjmení/název </w:t>
      </w:r>
    </w:p>
    <w:p w:rsidR="00000000" w:rsidDel="00000000" w:rsidP="00000000" w:rsidRDefault="00000000" w:rsidRPr="00000000" w14:paraId="0000000A">
      <w:pPr>
        <w:widowControl w:val="0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se sídlem</w:t>
      </w:r>
    </w:p>
    <w:p w:rsidR="00000000" w:rsidDel="00000000" w:rsidP="00000000" w:rsidRDefault="00000000" w:rsidRPr="00000000" w14:paraId="0000000B">
      <w:pPr>
        <w:widowControl w:val="0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IČ:</w:t>
      </w:r>
    </w:p>
    <w:p w:rsidR="00000000" w:rsidDel="00000000" w:rsidP="00000000" w:rsidRDefault="00000000" w:rsidRPr="00000000" w14:paraId="0000000C">
      <w:pPr>
        <w:widowControl w:val="0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zapsaný v ….. rejstříku vedeném ….. </w:t>
      </w:r>
    </w:p>
    <w:p w:rsidR="00000000" w:rsidDel="00000000" w:rsidP="00000000" w:rsidRDefault="00000000" w:rsidRPr="00000000" w14:paraId="0000000D">
      <w:pPr>
        <w:widowControl w:val="0"/>
        <w:spacing w:after="200" w:lineRule="auto"/>
        <w:ind w:right="-40.8661417322827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zastoupená … </w:t>
      </w:r>
    </w:p>
    <w:p w:rsidR="00000000" w:rsidDel="00000000" w:rsidP="00000000" w:rsidRDefault="00000000" w:rsidRPr="00000000" w14:paraId="0000000E">
      <w:pPr>
        <w:widowControl w:val="0"/>
        <w:spacing w:after="200" w:lineRule="auto"/>
        <w:ind w:left="0" w:right="-40.866141732282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0F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Správce a zpracovatel uzavřeli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(definovat smlouvu ke které je třeba uzavřít Zpracovatelský dodatek - smlouvy 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…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 uzavřené dne ….)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(dále jen “smlouva”) na jejímž základě zpracovatel poskytuje správci služby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(1. definovat služby, které zpracovatel poskytuje správci - vedení účetnictví, poskytování daňového poradenství, správa IT sítě, …)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při jejichž poskytování dochází ke zpracování osobních údajů. </w:t>
      </w:r>
    </w:p>
    <w:p w:rsidR="00000000" w:rsidDel="00000000" w:rsidP="00000000" w:rsidRDefault="00000000" w:rsidRPr="00000000" w14:paraId="00000010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Správce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je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údajů)(dále jen GDPR) správcem osobních údajů a zpracovatel je ve vztahu k správci zpracovatelem svěřených osobních údajů.  </w:t>
      </w:r>
    </w:p>
    <w:p w:rsidR="00000000" w:rsidDel="00000000" w:rsidP="00000000" w:rsidRDefault="00000000" w:rsidRPr="00000000" w14:paraId="00000011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výše uvedených důvodů smluvní strany uzavírají tento Zpracovatelský dodatek. </w:t>
      </w:r>
    </w:p>
    <w:p w:rsidR="00000000" w:rsidDel="00000000" w:rsidP="00000000" w:rsidRDefault="00000000" w:rsidRPr="00000000" w14:paraId="00000012">
      <w:pPr>
        <w:widowControl w:val="0"/>
        <w:spacing w:after="200" w:lineRule="auto"/>
        <w:ind w:left="0" w:right="-40.866141732282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II. </w:t>
      </w:r>
    </w:p>
    <w:p w:rsidR="00000000" w:rsidDel="00000000" w:rsidP="00000000" w:rsidRDefault="00000000" w:rsidRPr="00000000" w14:paraId="00000013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Správce za účelem plnění předmětu smlouvy umožňuje zpracovateli zpracovávat osobní údaje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(2.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definovat čí osobní údaje budou zpracovávány - zaměstnanci, uchazeči o zaměstnání, členové orgánů a společníci správce, dodavatelé a odběratelé, klienti, obchodní partneři, další osoby, se kterými přichází správce do kontaktu při své obchodní činnosti,  atd.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), které se skládají zejména z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(3.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definovat kategorie osobních údajů - identifikační údaje zaměstnanců a jiné údaje související se zaměstnáním, údaje obchodních partnerů, fotografie, údaje o zdravotním stavu, rozsudky v trestním řízení atd.)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Zpracovatel bude osobní údaje zpracovávat automatizovaně, pomocí technických prostředků nebo manuálně prostřednictvím svých zaměstnanců. </w:t>
      </w:r>
    </w:p>
    <w:p w:rsidR="00000000" w:rsidDel="00000000" w:rsidP="00000000" w:rsidRDefault="00000000" w:rsidRPr="00000000" w14:paraId="00000015">
      <w:pPr>
        <w:widowControl w:val="0"/>
        <w:spacing w:after="200" w:lineRule="auto"/>
        <w:ind w:left="0" w:right="-40.866141732282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lineRule="auto"/>
        <w:ind w:left="72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pracovatel je povinen: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zpracovávat osobní údaje pouze na základě pokynů správce, které jsou zpracovateli uděleny smlouvou. V případě plnění nad rámec smlouvy je správce povinen udělit zpracovateli pokyn k provedení plnění písemně nebo jinou formou umožňující zpětnou doložitelnost pokynu (emailem, telefonicky se záznamem hovoru apod.);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zachovávat mlčenlivost o všech skutečnostech, o kterých se v souvislosti s poskytováním plnění správci o osobních údajích poskytnutých správcem dozví;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přijmout dostatečná technická opatření k zabezpečení zpracovávání osobních údajů, které jsou nebo se stanou součástí předmětu plnění;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 případě zapojení třetí osoby do poskytování plnění, takovou osobu zavázat k přijetí nejméně stejných technických opatření k zabezpečení zpracovávaných osobních údajů, které jsou nebo se stanou součástí předmětu plnění a zavázat ji k mlčenlivosti nejméně ve stejném rozsahu jako je vázán zpracovatel;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poskytovat správci součinnost za účelem plnění povinností správce osobních údajů, zejména v případech, kdy subjekt údajů uplatní svá práva vyplývající z GDPR vůči správci, v případě potřeby zpracování posouzení vlivu zpracování na ochranu osobních údajů či při konzultaci s dozorovým orgánem;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 případě ukončení poskytování plnění všechny osobní údaje, včetně jejich kopií, odstranit nebo vrátit správci, není-li zpracovatel povinen takovéto osobní údaje nebo dokumenty obsahující osobní údaje uchovat dle jiných právních předpisů, např. tak jak je uvedeno v odst.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5 tohoto článku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tohoto Zpracovatelského dodatku;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poskytovat správci veškerou součinnost v případě provedení auditu či kontroly subjektem oprávněným ze zákona nebo přímo správcem;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poskytovat správci všechny informace k doložení splnění povinností správce osobních údajů;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afterAutospacing="0" w:lineRule="auto"/>
        <w:ind w:left="144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bezodkladně informovat správce, má-li zpracovatel za to, že jednáním nebo pokynem správce by mohlo být porušeno GDPR nebo jiný předpis týkající se ochrany osobních údajů.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lineRule="auto"/>
        <w:ind w:left="72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Zpracovatel je oprávněn zapojit, změnit nebo ukončit spolupráci s třetími osobami na plnění předmětu této smlouvy a správce mu tímto k tomu uděluje souhlas. O zapojení či změně třetích osob je zpracovatel povinen správce informovat a správce je oprávněn proti takovému zapojení či změně uplatnit odůvodněné námitky. Odůvodněné námitky se mohou týkat pouze pochybností ve smyslu ochrany osobních údajů. Jiné námitky nejsou přípustné.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Zpracovatel je oprávněn k předání osobních údajů do třetích zemí, zejména pro účely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yellow"/>
          <w:rtl w:val="0"/>
        </w:rPr>
        <w:t xml:space="preserve">(4. definovat služby pro které je nezbytné předávat osobní údaje do třetích zemí - např. cloudových a jiných IT služeb)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správce s uvedeným postupem souhlasí. Zpracovatel je povinen volit pro předání renomované zahraniční partnery zaručující bezpečnost dat.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lineRule="auto"/>
        <w:ind w:left="72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Podrobnosti technického zabezpečení osobních údajů, které jsou zpracovatelem nebo jím určenou třetí osobou zpracovávány na pokyn správce jsou specifikovány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v příloze č. 1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tohoto Zpracovatelského dodatku.  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00" w:lineRule="auto"/>
        <w:ind w:left="720" w:right="-40.8661417322827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Zpracování osobních údajů bude trvat po dobu platnosti smlouvy a následně po dobu stanovenou platnými právními předpisy. Zpracovatel je oprávněn uchovávat podklady, které mohou obsahovat i osobní údaje, nejdéle po dobu následujících 15 let po ukončení smlouvy pouze z důvodu obrany jeho právních nároků pro vymáhání náhrady úmyslně způsobené škody nebo újmy. </w:t>
      </w:r>
    </w:p>
    <w:p w:rsidR="00000000" w:rsidDel="00000000" w:rsidP="00000000" w:rsidRDefault="00000000" w:rsidRPr="00000000" w14:paraId="00000024">
      <w:pPr>
        <w:widowControl w:val="0"/>
        <w:spacing w:after="200" w:lineRule="auto"/>
        <w:ind w:left="0" w:right="-40.866141732282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IV. 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Tento Zpracovatelský dodatek se uzavírá ve dvou vyhotoveních z nichž každá strana obdrží po jednom vyhotovení. </w:t>
      </w:r>
    </w:p>
    <w:p w:rsidR="00000000" w:rsidDel="00000000" w:rsidP="00000000" w:rsidRDefault="00000000" w:rsidRPr="00000000" w14:paraId="00000026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24242"/>
          <w:sz w:val="20"/>
          <w:szCs w:val="20"/>
          <w:rtl w:val="0"/>
        </w:rPr>
        <w:t xml:space="preserve">Smluvní strany výslovně prohlašují, že si Zpracovatelský dodatek před podpisem řádně přečetly, že s jeho obsahem souhlasí a že byl uzavřen po vzájemném projednání, podle jejich svobodné a pravé vůle, vážně a srozumitelně, nikoliv v tísni a za nápadně nevýhodných podmínek pro jednu ze stran, na důkaz toho připojují své vlastnoruční podpisy.</w:t>
      </w:r>
    </w:p>
    <w:p w:rsidR="00000000" w:rsidDel="00000000" w:rsidP="00000000" w:rsidRDefault="00000000" w:rsidRPr="00000000" w14:paraId="00000027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24242"/>
          <w:sz w:val="20"/>
          <w:szCs w:val="20"/>
          <w:rtl w:val="0"/>
        </w:rPr>
        <w:t xml:space="preserve">Zpracovatelský dodatek nabývá platnosti a účinnosti okamžikem podpisu oběma smluvními stranami. Tímto dnem jsou smluvní strany svými projevy vůle vázáni.</w:t>
      </w:r>
    </w:p>
    <w:p w:rsidR="00000000" w:rsidDel="00000000" w:rsidP="00000000" w:rsidRDefault="00000000" w:rsidRPr="00000000" w14:paraId="00000028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24242"/>
          <w:sz w:val="20"/>
          <w:szCs w:val="20"/>
          <w:rtl w:val="0"/>
        </w:rPr>
        <w:t xml:space="preserve">V ……… dne ………….</w:t>
      </w:r>
    </w:p>
    <w:p w:rsidR="00000000" w:rsidDel="00000000" w:rsidP="00000000" w:rsidRDefault="00000000" w:rsidRPr="00000000" w14:paraId="0000002A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24242"/>
          <w:sz w:val="20"/>
          <w:szCs w:val="20"/>
          <w:rtl w:val="0"/>
        </w:rPr>
        <w:t xml:space="preserve">………………………………………………</w:t>
        <w:tab/>
        <w:tab/>
        <w:tab/>
        <w:tab/>
        <w:t xml:space="preserve">……………………………………………...</w:t>
      </w:r>
    </w:p>
    <w:p w:rsidR="00000000" w:rsidDel="00000000" w:rsidP="00000000" w:rsidRDefault="00000000" w:rsidRPr="00000000" w14:paraId="0000002E">
      <w:pPr>
        <w:spacing w:after="100" w:line="276" w:lineRule="auto"/>
        <w:ind w:left="0" w:firstLine="0"/>
        <w:jc w:val="both"/>
        <w:rPr>
          <w:rFonts w:ascii="Verdana" w:cs="Verdana" w:eastAsia="Verdana" w:hAnsi="Verdana"/>
          <w:color w:val="42424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24242"/>
          <w:sz w:val="20"/>
          <w:szCs w:val="20"/>
          <w:rtl w:val="0"/>
        </w:rPr>
        <w:t xml:space="preserve">Správce</w:t>
        <w:tab/>
        <w:tab/>
        <w:tab/>
        <w:tab/>
        <w:tab/>
        <w:tab/>
        <w:tab/>
        <w:t xml:space="preserve">Zpracovatel</w:t>
      </w:r>
    </w:p>
    <w:p w:rsidR="00000000" w:rsidDel="00000000" w:rsidP="00000000" w:rsidRDefault="00000000" w:rsidRPr="00000000" w14:paraId="0000002F">
      <w:pPr>
        <w:widowControl w:val="0"/>
        <w:spacing w:after="200" w:lineRule="auto"/>
        <w:ind w:left="0" w:right="-40.866141732282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